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1023" w14:textId="300FA259" w:rsidR="0059282D" w:rsidRDefault="00D93F2E">
      <w:pPr>
        <w:rPr>
          <w:b/>
          <w:bCs/>
          <w:color w:val="2F5496" w:themeColor="accent1" w:themeShade="BF"/>
          <w:sz w:val="32"/>
          <w:szCs w:val="32"/>
        </w:rPr>
      </w:pPr>
      <w:r w:rsidRPr="0059282D">
        <w:rPr>
          <w:b/>
          <w:bCs/>
          <w:color w:val="2F5496" w:themeColor="accent1" w:themeShade="BF"/>
          <w:sz w:val="44"/>
          <w:szCs w:val="44"/>
        </w:rPr>
        <w:t xml:space="preserve">        </w:t>
      </w:r>
      <w:r w:rsidR="0059282D">
        <w:rPr>
          <w:b/>
          <w:bCs/>
          <w:color w:val="2F5496" w:themeColor="accent1" w:themeShade="BF"/>
          <w:sz w:val="44"/>
          <w:szCs w:val="44"/>
        </w:rPr>
        <w:t xml:space="preserve">     </w:t>
      </w:r>
      <w:r w:rsidRPr="0059282D">
        <w:rPr>
          <w:b/>
          <w:bCs/>
          <w:color w:val="2F5496" w:themeColor="accent1" w:themeShade="BF"/>
          <w:sz w:val="44"/>
          <w:szCs w:val="44"/>
        </w:rPr>
        <w:t xml:space="preserve">  </w:t>
      </w:r>
      <w:r w:rsidR="0059282D" w:rsidRPr="0059282D">
        <w:rPr>
          <w:b/>
          <w:bCs/>
          <w:color w:val="2F5496" w:themeColor="accent1" w:themeShade="BF"/>
          <w:sz w:val="32"/>
          <w:szCs w:val="32"/>
        </w:rPr>
        <w:t xml:space="preserve">NOTICE : INFORMATION DE L’UTILISATEUR </w:t>
      </w:r>
    </w:p>
    <w:p w14:paraId="063C851C" w14:textId="574EF625" w:rsidR="002D0803" w:rsidRPr="0059282D" w:rsidRDefault="0059282D">
      <w:pPr>
        <w:rPr>
          <w:b/>
          <w:bCs/>
          <w:color w:val="2F5496" w:themeColor="accent1" w:themeShade="BF"/>
          <w:sz w:val="32"/>
          <w:szCs w:val="32"/>
        </w:rPr>
      </w:pPr>
      <w:r>
        <w:rPr>
          <w:b/>
          <w:bCs/>
          <w:color w:val="2F5496" w:themeColor="accent1" w:themeShade="BF"/>
          <w:sz w:val="32"/>
          <w:szCs w:val="32"/>
        </w:rPr>
        <w:t xml:space="preserve">                    </w:t>
      </w:r>
      <w:proofErr w:type="spellStart"/>
      <w:r w:rsidRPr="0059282D">
        <w:rPr>
          <w:b/>
          <w:bCs/>
          <w:color w:val="000000" w:themeColor="text1"/>
          <w:sz w:val="32"/>
          <w:szCs w:val="32"/>
        </w:rPr>
        <w:t>ActiRhino</w:t>
      </w:r>
      <w:proofErr w:type="spellEnd"/>
      <w:r w:rsidRPr="0059282D">
        <w:rPr>
          <w:b/>
          <w:bCs/>
          <w:color w:val="000000" w:themeColor="text1"/>
          <w:sz w:val="32"/>
          <w:szCs w:val="32"/>
        </w:rPr>
        <w:t xml:space="preserve">, </w:t>
      </w:r>
      <w:r w:rsidR="00F97074" w:rsidRPr="0059282D">
        <w:rPr>
          <w:b/>
          <w:bCs/>
          <w:color w:val="000000" w:themeColor="text1"/>
          <w:sz w:val="32"/>
          <w:szCs w:val="32"/>
        </w:rPr>
        <w:t>Immunité - Défenses Naturelles</w:t>
      </w:r>
    </w:p>
    <w:p w14:paraId="73073861" w14:textId="77777777" w:rsidR="00F97074" w:rsidRPr="0059282D" w:rsidRDefault="00F97074" w:rsidP="00D93F2E">
      <w:pPr>
        <w:spacing w:after="0"/>
        <w:rPr>
          <w:b/>
          <w:bCs/>
          <w:color w:val="2F5496" w:themeColor="accent1" w:themeShade="BF"/>
          <w:sz w:val="28"/>
          <w:szCs w:val="28"/>
        </w:rPr>
      </w:pPr>
      <w:r w:rsidRPr="0059282D">
        <w:rPr>
          <w:b/>
          <w:bCs/>
          <w:color w:val="2F5496" w:themeColor="accent1" w:themeShade="BF"/>
          <w:sz w:val="28"/>
          <w:szCs w:val="28"/>
        </w:rPr>
        <w:t xml:space="preserve">Quel est le rôle du microbiote buccal dans les infections de la sphère ORL ? </w:t>
      </w:r>
    </w:p>
    <w:p w14:paraId="23C7E07D" w14:textId="0657C79B" w:rsidR="00F97074" w:rsidRPr="0059282D" w:rsidRDefault="00F97074" w:rsidP="00D93F2E">
      <w:pPr>
        <w:spacing w:after="0"/>
        <w:jc w:val="both"/>
        <w:rPr>
          <w:sz w:val="24"/>
          <w:szCs w:val="24"/>
        </w:rPr>
      </w:pPr>
      <w:r w:rsidRPr="0059282D">
        <w:rPr>
          <w:sz w:val="24"/>
          <w:szCs w:val="24"/>
        </w:rPr>
        <w:t xml:space="preserve">Le microbiote buccal désigne l’ensemble des micro-organismes présents dans la bouche. Encore peu connu, il est pourtant tout aussi important que les autres microbiotes de l’organisme et son rôle est fondamental pour la santé bucco-dentaire et, bien au-delà, car il impacte la santé globale. Chaque individu a un microbiote buccal unique qui se forme dès la naissance. Ensuite, de nombreux facteurs interviennent au fil du temps comme la génétique, l’alimentation, la proximité d’autres personnes, ou encore l’âge. Un microbiote buccal diversifié et sain permet d’éviter certaines infections de la sphère ORL. Cependant l’équilibre du microbiote buccal reste fragile. Sous l’influence de </w:t>
      </w:r>
      <w:r w:rsidR="00D93F2E" w:rsidRPr="0059282D">
        <w:rPr>
          <w:sz w:val="24"/>
          <w:szCs w:val="24"/>
        </w:rPr>
        <w:t>différents</w:t>
      </w:r>
      <w:r w:rsidRPr="0059282D">
        <w:rPr>
          <w:sz w:val="24"/>
          <w:szCs w:val="24"/>
        </w:rPr>
        <w:t xml:space="preserve"> facteurs (prise d’antibiothérapie, tabagisme, stress, excès de sucre…), des modifications de ce microbiote conduisent à une situation de déséquilibre pouvant entraîner des maladies infectieuses courantes de la sphère ORL.</w:t>
      </w:r>
    </w:p>
    <w:p w14:paraId="4E5A081D" w14:textId="77777777" w:rsidR="00D93F2E" w:rsidRDefault="00D93F2E" w:rsidP="00D93F2E">
      <w:pPr>
        <w:spacing w:after="0"/>
        <w:jc w:val="both"/>
      </w:pPr>
    </w:p>
    <w:p w14:paraId="541AA006" w14:textId="77777777" w:rsidR="00D93F2E" w:rsidRPr="0059282D" w:rsidRDefault="00D93F2E" w:rsidP="00D93F2E">
      <w:pPr>
        <w:spacing w:after="0"/>
        <w:jc w:val="both"/>
        <w:rPr>
          <w:b/>
          <w:bCs/>
          <w:color w:val="0070C0"/>
          <w:sz w:val="28"/>
          <w:szCs w:val="28"/>
        </w:rPr>
      </w:pPr>
      <w:r w:rsidRPr="0059282D">
        <w:rPr>
          <w:b/>
          <w:bCs/>
          <w:color w:val="2F5496" w:themeColor="accent1" w:themeShade="BF"/>
          <w:sz w:val="28"/>
          <w:szCs w:val="28"/>
        </w:rPr>
        <w:t>Pourquoi utiliser ACTIRHINO ® Immunité – Défenses naturelles ?</w:t>
      </w:r>
      <w:r w:rsidRPr="0059282D">
        <w:rPr>
          <w:b/>
          <w:bCs/>
          <w:color w:val="0070C0"/>
          <w:sz w:val="28"/>
          <w:szCs w:val="28"/>
        </w:rPr>
        <w:t xml:space="preserve"> </w:t>
      </w:r>
    </w:p>
    <w:p w14:paraId="39A9FCD2" w14:textId="77777777" w:rsidR="00D93F2E" w:rsidRPr="00106377" w:rsidRDefault="00D93F2E" w:rsidP="00D93F2E">
      <w:pPr>
        <w:spacing w:after="0"/>
        <w:jc w:val="both"/>
        <w:rPr>
          <w:sz w:val="24"/>
          <w:szCs w:val="24"/>
        </w:rPr>
      </w:pPr>
      <w:proofErr w:type="spellStart"/>
      <w:r w:rsidRPr="00106377">
        <w:rPr>
          <w:b/>
          <w:bCs/>
          <w:sz w:val="24"/>
          <w:szCs w:val="24"/>
        </w:rPr>
        <w:t>ActiRhino</w:t>
      </w:r>
      <w:proofErr w:type="spellEnd"/>
      <w:r w:rsidRPr="00106377">
        <w:rPr>
          <w:b/>
          <w:bCs/>
          <w:sz w:val="24"/>
          <w:szCs w:val="24"/>
        </w:rPr>
        <w:t xml:space="preserve"> ® Immunité – Défenses naturelles</w:t>
      </w:r>
      <w:r w:rsidRPr="00106377">
        <w:rPr>
          <w:sz w:val="24"/>
          <w:szCs w:val="24"/>
        </w:rPr>
        <w:t xml:space="preserve"> est un complément alimentaire destiné à l’enfant de plus de 3 ans et à l’adulte, contenant : </w:t>
      </w:r>
    </w:p>
    <w:p w14:paraId="58CBDECC" w14:textId="77777777" w:rsidR="00D93F2E" w:rsidRPr="00106377" w:rsidRDefault="00D93F2E" w:rsidP="00D93F2E">
      <w:pPr>
        <w:spacing w:after="0"/>
        <w:jc w:val="both"/>
        <w:rPr>
          <w:sz w:val="24"/>
          <w:szCs w:val="24"/>
        </w:rPr>
      </w:pPr>
      <w:r w:rsidRPr="00106377">
        <w:rPr>
          <w:sz w:val="24"/>
          <w:szCs w:val="24"/>
        </w:rPr>
        <w:t xml:space="preserve">• une souche microbiotique brevetée et naturellement présente dans la cavité buccale, la Streptococcus </w:t>
      </w:r>
      <w:proofErr w:type="spellStart"/>
      <w:r w:rsidRPr="00106377">
        <w:rPr>
          <w:sz w:val="24"/>
          <w:szCs w:val="24"/>
        </w:rPr>
        <w:t>salivarius</w:t>
      </w:r>
      <w:proofErr w:type="spellEnd"/>
      <w:r w:rsidRPr="00106377">
        <w:rPr>
          <w:sz w:val="24"/>
          <w:szCs w:val="24"/>
        </w:rPr>
        <w:t xml:space="preserve">, K -12 ®, au dosage optimal. </w:t>
      </w:r>
    </w:p>
    <w:p w14:paraId="5364EE7B" w14:textId="4954E46C" w:rsidR="00D93F2E" w:rsidRPr="00106377" w:rsidRDefault="00D93F2E" w:rsidP="00D93F2E">
      <w:pPr>
        <w:spacing w:after="0"/>
        <w:jc w:val="both"/>
        <w:rPr>
          <w:sz w:val="24"/>
          <w:szCs w:val="24"/>
        </w:rPr>
      </w:pPr>
      <w:r w:rsidRPr="00106377">
        <w:rPr>
          <w:sz w:val="24"/>
          <w:szCs w:val="24"/>
        </w:rPr>
        <w:t>• de la vitamine D3 qui contribue au fonctionnement normal du système immunitaire.</w:t>
      </w:r>
    </w:p>
    <w:p w14:paraId="5CBD2D56" w14:textId="76A74F84" w:rsidR="00E552DA" w:rsidRPr="00106377" w:rsidRDefault="00E552DA" w:rsidP="00D93F2E">
      <w:pPr>
        <w:spacing w:after="0"/>
        <w:jc w:val="both"/>
        <w:rPr>
          <w:sz w:val="24"/>
          <w:szCs w:val="24"/>
        </w:rPr>
      </w:pPr>
      <w:r w:rsidRPr="00106377">
        <w:rPr>
          <w:sz w:val="24"/>
          <w:szCs w:val="24"/>
        </w:rPr>
        <w:t>Composition :</w:t>
      </w:r>
    </w:p>
    <w:tbl>
      <w:tblPr>
        <w:tblStyle w:val="Grilledutableau"/>
        <w:tblW w:w="0" w:type="auto"/>
        <w:tblLook w:val="04A0" w:firstRow="1" w:lastRow="0" w:firstColumn="1" w:lastColumn="0" w:noHBand="0" w:noVBand="1"/>
      </w:tblPr>
      <w:tblGrid>
        <w:gridCol w:w="3397"/>
        <w:gridCol w:w="1560"/>
        <w:gridCol w:w="425"/>
        <w:gridCol w:w="771"/>
      </w:tblGrid>
      <w:tr w:rsidR="00E552DA" w:rsidRPr="00106377" w14:paraId="3B7C3D65" w14:textId="77777777" w:rsidTr="00106377">
        <w:tc>
          <w:tcPr>
            <w:tcW w:w="3397" w:type="dxa"/>
          </w:tcPr>
          <w:p w14:paraId="027E73F4" w14:textId="5198980E" w:rsidR="00E552DA" w:rsidRPr="00106377" w:rsidRDefault="00E552DA" w:rsidP="00D93F2E">
            <w:pPr>
              <w:jc w:val="both"/>
              <w:rPr>
                <w:b/>
                <w:bCs/>
                <w:sz w:val="24"/>
                <w:szCs w:val="24"/>
              </w:rPr>
            </w:pPr>
            <w:r w:rsidRPr="00106377">
              <w:rPr>
                <w:b/>
                <w:bCs/>
                <w:sz w:val="24"/>
                <w:szCs w:val="24"/>
              </w:rPr>
              <w:t>Ingrédients actifs</w:t>
            </w:r>
          </w:p>
        </w:tc>
        <w:tc>
          <w:tcPr>
            <w:tcW w:w="1985" w:type="dxa"/>
            <w:gridSpan w:val="2"/>
          </w:tcPr>
          <w:p w14:paraId="48331C46" w14:textId="2B2D0581" w:rsidR="00E552DA" w:rsidRPr="00106377" w:rsidRDefault="00E552DA" w:rsidP="00D93F2E">
            <w:pPr>
              <w:jc w:val="both"/>
              <w:rPr>
                <w:b/>
                <w:bCs/>
                <w:sz w:val="24"/>
                <w:szCs w:val="24"/>
              </w:rPr>
            </w:pPr>
            <w:r w:rsidRPr="00106377">
              <w:rPr>
                <w:b/>
                <w:bCs/>
                <w:sz w:val="24"/>
                <w:szCs w:val="24"/>
              </w:rPr>
              <w:t>Pour 1 comprimé</w:t>
            </w:r>
          </w:p>
        </w:tc>
        <w:tc>
          <w:tcPr>
            <w:tcW w:w="346" w:type="dxa"/>
          </w:tcPr>
          <w:p w14:paraId="6BD091F4" w14:textId="264AF845" w:rsidR="00E552DA" w:rsidRPr="00106377" w:rsidRDefault="00E552DA" w:rsidP="00D93F2E">
            <w:pPr>
              <w:jc w:val="both"/>
              <w:rPr>
                <w:b/>
                <w:bCs/>
                <w:sz w:val="24"/>
                <w:szCs w:val="24"/>
              </w:rPr>
            </w:pPr>
            <w:r w:rsidRPr="00106377">
              <w:rPr>
                <w:b/>
                <w:bCs/>
                <w:sz w:val="24"/>
                <w:szCs w:val="24"/>
              </w:rPr>
              <w:t>VNR*</w:t>
            </w:r>
          </w:p>
        </w:tc>
      </w:tr>
      <w:tr w:rsidR="00E552DA" w:rsidRPr="00106377" w14:paraId="702BF807" w14:textId="77777777" w:rsidTr="00106377">
        <w:tc>
          <w:tcPr>
            <w:tcW w:w="3397" w:type="dxa"/>
          </w:tcPr>
          <w:p w14:paraId="284C19FE" w14:textId="3C763DE2" w:rsidR="00E552DA" w:rsidRPr="00106377" w:rsidRDefault="00E552DA" w:rsidP="00D93F2E">
            <w:pPr>
              <w:jc w:val="both"/>
              <w:rPr>
                <w:i/>
                <w:iCs/>
                <w:sz w:val="24"/>
                <w:szCs w:val="24"/>
              </w:rPr>
            </w:pPr>
            <w:r w:rsidRPr="00106377">
              <w:rPr>
                <w:i/>
                <w:iCs/>
                <w:sz w:val="24"/>
                <w:szCs w:val="24"/>
              </w:rPr>
              <w:t xml:space="preserve">Streptococcus </w:t>
            </w:r>
            <w:proofErr w:type="spellStart"/>
            <w:r w:rsidRPr="00106377">
              <w:rPr>
                <w:i/>
                <w:iCs/>
                <w:sz w:val="24"/>
                <w:szCs w:val="24"/>
              </w:rPr>
              <w:t>salivarius</w:t>
            </w:r>
            <w:proofErr w:type="spellEnd"/>
            <w:r w:rsidRPr="00106377">
              <w:rPr>
                <w:i/>
                <w:iCs/>
                <w:sz w:val="24"/>
                <w:szCs w:val="24"/>
              </w:rPr>
              <w:t>, K - 1 2 ®</w:t>
            </w:r>
          </w:p>
        </w:tc>
        <w:tc>
          <w:tcPr>
            <w:tcW w:w="1560" w:type="dxa"/>
          </w:tcPr>
          <w:p w14:paraId="0A8DF7FF" w14:textId="2D8BF3F1" w:rsidR="00E552DA" w:rsidRPr="00106377" w:rsidRDefault="00E552DA" w:rsidP="00D93F2E">
            <w:pPr>
              <w:jc w:val="both"/>
              <w:rPr>
                <w:sz w:val="24"/>
                <w:szCs w:val="24"/>
              </w:rPr>
            </w:pPr>
            <w:r w:rsidRPr="00106377">
              <w:rPr>
                <w:sz w:val="24"/>
                <w:szCs w:val="24"/>
              </w:rPr>
              <w:t>1x10 9 UFC**</w:t>
            </w:r>
          </w:p>
        </w:tc>
        <w:tc>
          <w:tcPr>
            <w:tcW w:w="771" w:type="dxa"/>
            <w:gridSpan w:val="2"/>
          </w:tcPr>
          <w:p w14:paraId="036FB97F" w14:textId="220F1D0E" w:rsidR="00E552DA" w:rsidRPr="00106377" w:rsidRDefault="00E552DA" w:rsidP="00D93F2E">
            <w:pPr>
              <w:jc w:val="both"/>
              <w:rPr>
                <w:sz w:val="24"/>
                <w:szCs w:val="24"/>
              </w:rPr>
            </w:pPr>
            <w:r w:rsidRPr="00106377">
              <w:rPr>
                <w:sz w:val="24"/>
                <w:szCs w:val="24"/>
              </w:rPr>
              <w:t>-</w:t>
            </w:r>
          </w:p>
        </w:tc>
      </w:tr>
      <w:tr w:rsidR="00E552DA" w:rsidRPr="00106377" w14:paraId="7A9C9D4B" w14:textId="77777777" w:rsidTr="00106377">
        <w:tc>
          <w:tcPr>
            <w:tcW w:w="3397" w:type="dxa"/>
          </w:tcPr>
          <w:p w14:paraId="61D71BE7" w14:textId="2CDD0306" w:rsidR="00E552DA" w:rsidRPr="00106377" w:rsidRDefault="00106377" w:rsidP="00D93F2E">
            <w:pPr>
              <w:jc w:val="both"/>
              <w:rPr>
                <w:i/>
                <w:iCs/>
                <w:sz w:val="24"/>
                <w:szCs w:val="24"/>
              </w:rPr>
            </w:pPr>
            <w:r w:rsidRPr="00106377">
              <w:rPr>
                <w:i/>
                <w:iCs/>
                <w:sz w:val="24"/>
                <w:szCs w:val="24"/>
              </w:rPr>
              <w:t>Vitamine D3 (cholécalciférol)</w:t>
            </w:r>
          </w:p>
        </w:tc>
        <w:tc>
          <w:tcPr>
            <w:tcW w:w="1560" w:type="dxa"/>
          </w:tcPr>
          <w:p w14:paraId="14565466" w14:textId="1B459D29" w:rsidR="00E552DA" w:rsidRPr="00106377" w:rsidRDefault="00106377" w:rsidP="00D93F2E">
            <w:pPr>
              <w:jc w:val="both"/>
              <w:rPr>
                <w:sz w:val="24"/>
                <w:szCs w:val="24"/>
              </w:rPr>
            </w:pPr>
            <w:r w:rsidRPr="00106377">
              <w:rPr>
                <w:sz w:val="24"/>
                <w:szCs w:val="24"/>
              </w:rPr>
              <w:t>5 µg</w:t>
            </w:r>
          </w:p>
        </w:tc>
        <w:tc>
          <w:tcPr>
            <w:tcW w:w="771" w:type="dxa"/>
            <w:gridSpan w:val="2"/>
          </w:tcPr>
          <w:p w14:paraId="4EF07A9C" w14:textId="100DBE4E" w:rsidR="00E552DA" w:rsidRPr="00106377" w:rsidRDefault="00106377" w:rsidP="00D93F2E">
            <w:pPr>
              <w:jc w:val="both"/>
              <w:rPr>
                <w:sz w:val="24"/>
                <w:szCs w:val="24"/>
              </w:rPr>
            </w:pPr>
            <w:r w:rsidRPr="00106377">
              <w:rPr>
                <w:sz w:val="24"/>
                <w:szCs w:val="24"/>
              </w:rPr>
              <w:t>100%</w:t>
            </w:r>
          </w:p>
        </w:tc>
      </w:tr>
    </w:tbl>
    <w:p w14:paraId="5ECAB632" w14:textId="77777777" w:rsidR="00D93F2E" w:rsidRDefault="00D93F2E" w:rsidP="00D93F2E">
      <w:pPr>
        <w:spacing w:after="0"/>
      </w:pPr>
    </w:p>
    <w:p w14:paraId="5E117F51" w14:textId="77777777" w:rsidR="00D93F2E" w:rsidRPr="0059282D" w:rsidRDefault="00D93F2E" w:rsidP="00D93F2E">
      <w:pPr>
        <w:spacing w:after="0"/>
        <w:jc w:val="both"/>
        <w:rPr>
          <w:b/>
          <w:bCs/>
          <w:color w:val="2F5496" w:themeColor="accent1" w:themeShade="BF"/>
          <w:sz w:val="28"/>
          <w:szCs w:val="28"/>
        </w:rPr>
      </w:pPr>
      <w:r w:rsidRPr="0059282D">
        <w:rPr>
          <w:b/>
          <w:bCs/>
          <w:color w:val="2F5496" w:themeColor="accent1" w:themeShade="BF"/>
          <w:sz w:val="28"/>
          <w:szCs w:val="28"/>
        </w:rPr>
        <w:t xml:space="preserve">Quel est la spécificité d’ACTIRHINO ® Immunité – Défenses naturelles ? </w:t>
      </w:r>
    </w:p>
    <w:p w14:paraId="1C4026BE" w14:textId="703B6ABF" w:rsidR="00D93F2E" w:rsidRPr="0059282D" w:rsidRDefault="00D93F2E" w:rsidP="00D93F2E">
      <w:pPr>
        <w:spacing w:after="0"/>
        <w:jc w:val="both"/>
        <w:rPr>
          <w:sz w:val="24"/>
          <w:szCs w:val="24"/>
        </w:rPr>
      </w:pPr>
      <w:proofErr w:type="spellStart"/>
      <w:r w:rsidRPr="0059282D">
        <w:rPr>
          <w:b/>
          <w:bCs/>
          <w:sz w:val="24"/>
          <w:szCs w:val="24"/>
        </w:rPr>
        <w:t>ActiRthino</w:t>
      </w:r>
      <w:proofErr w:type="spellEnd"/>
      <w:r w:rsidRPr="0059282D">
        <w:rPr>
          <w:b/>
          <w:bCs/>
          <w:sz w:val="24"/>
          <w:szCs w:val="24"/>
        </w:rPr>
        <w:t xml:space="preserve"> ® Immunité – Défenses naturelles</w:t>
      </w:r>
      <w:r w:rsidRPr="0059282D">
        <w:rPr>
          <w:sz w:val="24"/>
          <w:szCs w:val="24"/>
        </w:rPr>
        <w:t xml:space="preserve"> est un supplément probiotique unique contenant la souche Streptococcus </w:t>
      </w:r>
      <w:proofErr w:type="spellStart"/>
      <w:r w:rsidRPr="0059282D">
        <w:rPr>
          <w:sz w:val="24"/>
          <w:szCs w:val="24"/>
        </w:rPr>
        <w:t>salivarius</w:t>
      </w:r>
      <w:proofErr w:type="spellEnd"/>
      <w:r w:rsidRPr="0059282D">
        <w:rPr>
          <w:sz w:val="24"/>
          <w:szCs w:val="24"/>
        </w:rPr>
        <w:t xml:space="preserve">, K -12 ® qui provient de la cavité buccale et dont il est prouvé qu'elle colonise </w:t>
      </w:r>
      <w:r w:rsidRPr="0059282D">
        <w:rPr>
          <w:sz w:val="24"/>
          <w:szCs w:val="24"/>
        </w:rPr>
        <w:t>efficacement</w:t>
      </w:r>
      <w:r w:rsidRPr="0059282D">
        <w:rPr>
          <w:sz w:val="24"/>
          <w:szCs w:val="24"/>
        </w:rPr>
        <w:t xml:space="preserve"> l'oropharynx et le nasopharynx. Streptococcus </w:t>
      </w:r>
      <w:proofErr w:type="spellStart"/>
      <w:r w:rsidRPr="0059282D">
        <w:rPr>
          <w:sz w:val="24"/>
          <w:szCs w:val="24"/>
        </w:rPr>
        <w:t>salivarius</w:t>
      </w:r>
      <w:proofErr w:type="spellEnd"/>
      <w:r w:rsidRPr="0059282D">
        <w:rPr>
          <w:sz w:val="24"/>
          <w:szCs w:val="24"/>
        </w:rPr>
        <w:t xml:space="preserve">, K -12 ® inhibe les agents pathogènes responsables des infections de la sphère ORL et protège les cellules hôtes de l'oropharynx et du nasopharynx de l'adhésion des agents pathogènes, présents dans la cavité buccale et la sphère ORL, en construisant un biofilm protecteur qui bloque les sites de fixation des agents pathogènes. Contrairement aux probiotiques courants, </w:t>
      </w:r>
      <w:proofErr w:type="spellStart"/>
      <w:r w:rsidRPr="0059282D">
        <w:rPr>
          <w:b/>
          <w:bCs/>
          <w:sz w:val="24"/>
          <w:szCs w:val="24"/>
        </w:rPr>
        <w:t>ActiRhino</w:t>
      </w:r>
      <w:proofErr w:type="spellEnd"/>
      <w:r w:rsidRPr="0059282D">
        <w:rPr>
          <w:b/>
          <w:bCs/>
          <w:sz w:val="24"/>
          <w:szCs w:val="24"/>
        </w:rPr>
        <w:t xml:space="preserve"> ® Immunité – Défenses naturelles</w:t>
      </w:r>
      <w:r w:rsidRPr="0059282D">
        <w:rPr>
          <w:sz w:val="24"/>
          <w:szCs w:val="24"/>
        </w:rPr>
        <w:t xml:space="preserve"> ne modifie pas le microbiote intestinal mais le microbiote </w:t>
      </w:r>
      <w:proofErr w:type="spellStart"/>
      <w:r w:rsidRPr="0059282D">
        <w:rPr>
          <w:sz w:val="24"/>
          <w:szCs w:val="24"/>
        </w:rPr>
        <w:t>oro</w:t>
      </w:r>
      <w:proofErr w:type="spellEnd"/>
      <w:r w:rsidRPr="0059282D">
        <w:rPr>
          <w:sz w:val="24"/>
          <w:szCs w:val="24"/>
        </w:rPr>
        <w:t xml:space="preserve"> et nasopharyngé, assurant ainsi une prévention des infections de la gorge et des oreilles</w:t>
      </w:r>
      <w:r w:rsidRPr="0059282D">
        <w:rPr>
          <w:sz w:val="24"/>
          <w:szCs w:val="24"/>
        </w:rPr>
        <w:t>.</w:t>
      </w:r>
    </w:p>
    <w:p w14:paraId="52F59818" w14:textId="77777777" w:rsidR="00D93F2E" w:rsidRDefault="00D93F2E" w:rsidP="00D93F2E">
      <w:pPr>
        <w:spacing w:after="0"/>
      </w:pPr>
    </w:p>
    <w:p w14:paraId="7BE74026" w14:textId="50047EFB" w:rsidR="00D93F2E" w:rsidRPr="0059282D" w:rsidRDefault="00D93F2E" w:rsidP="009A7B03">
      <w:pPr>
        <w:spacing w:after="0"/>
        <w:jc w:val="both"/>
        <w:rPr>
          <w:color w:val="2F5496" w:themeColor="accent1" w:themeShade="BF"/>
          <w:sz w:val="28"/>
          <w:szCs w:val="28"/>
        </w:rPr>
      </w:pPr>
      <w:r w:rsidRPr="0059282D">
        <w:rPr>
          <w:b/>
          <w:bCs/>
          <w:color w:val="2F5496" w:themeColor="accent1" w:themeShade="BF"/>
          <w:sz w:val="28"/>
          <w:szCs w:val="28"/>
        </w:rPr>
        <w:t>ACTIRHINO ® Immunité – Défenses naturelles : Une e</w:t>
      </w:r>
      <w:r w:rsidRPr="0059282D">
        <w:rPr>
          <w:b/>
          <w:bCs/>
          <w:color w:val="2F5496" w:themeColor="accent1" w:themeShade="BF"/>
          <w:sz w:val="28"/>
          <w:szCs w:val="28"/>
        </w:rPr>
        <w:t>ffi</w:t>
      </w:r>
      <w:r w:rsidRPr="0059282D">
        <w:rPr>
          <w:b/>
          <w:bCs/>
          <w:color w:val="2F5496" w:themeColor="accent1" w:themeShade="BF"/>
          <w:sz w:val="28"/>
          <w:szCs w:val="28"/>
        </w:rPr>
        <w:t>cacité cliniquement prouvée</w:t>
      </w:r>
      <w:r w:rsidRPr="0059282D">
        <w:rPr>
          <w:color w:val="2F5496" w:themeColor="accent1" w:themeShade="BF"/>
          <w:sz w:val="28"/>
          <w:szCs w:val="28"/>
        </w:rPr>
        <w:t xml:space="preserve"> </w:t>
      </w:r>
    </w:p>
    <w:p w14:paraId="790C945E" w14:textId="7D9C3679" w:rsidR="00D93F2E" w:rsidRPr="0059282D" w:rsidRDefault="00D93F2E" w:rsidP="009A7B03">
      <w:pPr>
        <w:spacing w:after="0"/>
        <w:jc w:val="both"/>
        <w:rPr>
          <w:sz w:val="24"/>
          <w:szCs w:val="24"/>
        </w:rPr>
      </w:pPr>
      <w:proofErr w:type="spellStart"/>
      <w:r w:rsidRPr="0059282D">
        <w:rPr>
          <w:b/>
          <w:bCs/>
          <w:sz w:val="24"/>
          <w:szCs w:val="24"/>
        </w:rPr>
        <w:t>ActiRhino</w:t>
      </w:r>
      <w:proofErr w:type="spellEnd"/>
      <w:r w:rsidRPr="0059282D">
        <w:rPr>
          <w:b/>
          <w:bCs/>
          <w:sz w:val="24"/>
          <w:szCs w:val="24"/>
        </w:rPr>
        <w:t xml:space="preserve"> ® Immunité – Défenses naturelles</w:t>
      </w:r>
      <w:r w:rsidRPr="0059282D">
        <w:rPr>
          <w:sz w:val="24"/>
          <w:szCs w:val="24"/>
        </w:rPr>
        <w:t xml:space="preserve"> contient la formule exclusive </w:t>
      </w:r>
      <w:proofErr w:type="spellStart"/>
      <w:r w:rsidRPr="0059282D">
        <w:rPr>
          <w:b/>
          <w:bCs/>
          <w:sz w:val="24"/>
          <w:szCs w:val="24"/>
        </w:rPr>
        <w:t>Bactoblis</w:t>
      </w:r>
      <w:proofErr w:type="spellEnd"/>
      <w:r w:rsidRPr="0059282D">
        <w:rPr>
          <w:b/>
          <w:bCs/>
          <w:sz w:val="24"/>
          <w:szCs w:val="24"/>
        </w:rPr>
        <w:t xml:space="preserve"> ®</w:t>
      </w:r>
      <w:r w:rsidRPr="0059282D">
        <w:rPr>
          <w:sz w:val="24"/>
          <w:szCs w:val="24"/>
        </w:rPr>
        <w:t xml:space="preserve"> élaborée à partir de la souche Streptococcus </w:t>
      </w:r>
      <w:proofErr w:type="spellStart"/>
      <w:r w:rsidRPr="0059282D">
        <w:rPr>
          <w:sz w:val="24"/>
          <w:szCs w:val="24"/>
        </w:rPr>
        <w:t>salivarius</w:t>
      </w:r>
      <w:proofErr w:type="spellEnd"/>
      <w:r w:rsidRPr="0059282D">
        <w:rPr>
          <w:sz w:val="24"/>
          <w:szCs w:val="24"/>
        </w:rPr>
        <w:t xml:space="preserve">, K -12 ®, isolée à partir d'un enfant en </w:t>
      </w:r>
      <w:r w:rsidRPr="0059282D">
        <w:rPr>
          <w:sz w:val="24"/>
          <w:szCs w:val="24"/>
        </w:rPr>
        <w:lastRenderedPageBreak/>
        <w:t xml:space="preserve">bonne santé et qui a fait l'objet de recherches pendant plus de 30 ans. Son </w:t>
      </w:r>
      <w:r w:rsidR="009A7B03" w:rsidRPr="0059282D">
        <w:rPr>
          <w:sz w:val="24"/>
          <w:szCs w:val="24"/>
        </w:rPr>
        <w:t>efficacité</w:t>
      </w:r>
      <w:r w:rsidRPr="0059282D">
        <w:rPr>
          <w:sz w:val="24"/>
          <w:szCs w:val="24"/>
        </w:rPr>
        <w:t xml:space="preserve"> a été cliniquement prouvée au travers d’une trentaine d’essais cliniques réalisés dans le monde entier sur plus de 2 600 sujets de </w:t>
      </w:r>
      <w:r w:rsidR="009A7B03" w:rsidRPr="0059282D">
        <w:rPr>
          <w:sz w:val="24"/>
          <w:szCs w:val="24"/>
        </w:rPr>
        <w:t>différents</w:t>
      </w:r>
      <w:r w:rsidRPr="0059282D">
        <w:rPr>
          <w:sz w:val="24"/>
          <w:szCs w:val="24"/>
        </w:rPr>
        <w:t xml:space="preserve"> âges.</w:t>
      </w:r>
    </w:p>
    <w:p w14:paraId="0A96E774" w14:textId="77777777" w:rsidR="009A7B03" w:rsidRPr="0059282D" w:rsidRDefault="009A7B03" w:rsidP="009A7B03">
      <w:pPr>
        <w:spacing w:after="0"/>
        <w:jc w:val="both"/>
        <w:rPr>
          <w:sz w:val="24"/>
          <w:szCs w:val="24"/>
        </w:rPr>
      </w:pPr>
    </w:p>
    <w:p w14:paraId="0384F801" w14:textId="62BCC22E" w:rsidR="00D93F2E" w:rsidRPr="0059282D" w:rsidRDefault="00D93F2E" w:rsidP="00D93F2E">
      <w:pPr>
        <w:jc w:val="both"/>
        <w:rPr>
          <w:sz w:val="24"/>
          <w:szCs w:val="24"/>
        </w:rPr>
      </w:pPr>
      <w:r w:rsidRPr="0059282D">
        <w:rPr>
          <w:sz w:val="24"/>
          <w:szCs w:val="24"/>
        </w:rPr>
        <w:t xml:space="preserve">Des bénéfices cliniques ont été démontrés dans plusieurs études cliniques, dont certaines menées auprès d'enfants âgés de 3 à 12 ans. Dans ces études cliniques, notre formule exclusive a permis de réduire significativement l'incidence des otites moyennes aiguës, des pharyngites et des amygdalites (Di </w:t>
      </w:r>
      <w:proofErr w:type="spellStart"/>
      <w:r w:rsidRPr="0059282D">
        <w:rPr>
          <w:sz w:val="24"/>
          <w:szCs w:val="24"/>
        </w:rPr>
        <w:t>Pierro</w:t>
      </w:r>
      <w:proofErr w:type="spellEnd"/>
      <w:r w:rsidRPr="0059282D">
        <w:rPr>
          <w:sz w:val="24"/>
          <w:szCs w:val="24"/>
        </w:rPr>
        <w:t xml:space="preserve"> et al. 2012 ; 2013 ; 2014 ; 2016a ; 2016b ; </w:t>
      </w:r>
      <w:proofErr w:type="spellStart"/>
      <w:r w:rsidRPr="0059282D">
        <w:rPr>
          <w:sz w:val="24"/>
          <w:szCs w:val="24"/>
        </w:rPr>
        <w:t>Gregori</w:t>
      </w:r>
      <w:proofErr w:type="spellEnd"/>
      <w:r w:rsidRPr="0059282D">
        <w:rPr>
          <w:sz w:val="24"/>
          <w:szCs w:val="24"/>
        </w:rPr>
        <w:t xml:space="preserve"> et al. 2016), ainsi que l'utilisation d'antibiotiques et d'antipyrétiques (Di </w:t>
      </w:r>
      <w:proofErr w:type="spellStart"/>
      <w:r w:rsidRPr="0059282D">
        <w:rPr>
          <w:sz w:val="24"/>
          <w:szCs w:val="24"/>
        </w:rPr>
        <w:t>Pierro</w:t>
      </w:r>
      <w:proofErr w:type="spellEnd"/>
      <w:r w:rsidRPr="0059282D">
        <w:rPr>
          <w:sz w:val="24"/>
          <w:szCs w:val="24"/>
        </w:rPr>
        <w:t xml:space="preserve"> et al. 2014 ; Marini et al. 2019).</w:t>
      </w:r>
    </w:p>
    <w:p w14:paraId="4FCA4CC0" w14:textId="77777777" w:rsidR="009A7B03" w:rsidRPr="0059282D" w:rsidRDefault="009A7B03" w:rsidP="009A7B03">
      <w:pPr>
        <w:spacing w:after="0"/>
        <w:jc w:val="both"/>
        <w:rPr>
          <w:b/>
          <w:bCs/>
          <w:color w:val="2F5496" w:themeColor="accent1" w:themeShade="BF"/>
          <w:sz w:val="28"/>
          <w:szCs w:val="28"/>
        </w:rPr>
      </w:pPr>
      <w:r w:rsidRPr="0059282D">
        <w:rPr>
          <w:b/>
          <w:bCs/>
          <w:color w:val="2F5496" w:themeColor="accent1" w:themeShade="BF"/>
          <w:sz w:val="28"/>
          <w:szCs w:val="28"/>
        </w:rPr>
        <w:t xml:space="preserve">Conseils d’utilisation : </w:t>
      </w:r>
    </w:p>
    <w:p w14:paraId="5A7A8547" w14:textId="77777777" w:rsidR="009A7B03" w:rsidRPr="0059282D" w:rsidRDefault="009A7B03" w:rsidP="009A7B03">
      <w:pPr>
        <w:spacing w:after="0"/>
        <w:jc w:val="both"/>
        <w:rPr>
          <w:sz w:val="24"/>
          <w:szCs w:val="24"/>
        </w:rPr>
      </w:pPr>
      <w:r w:rsidRPr="0059282D">
        <w:rPr>
          <w:sz w:val="24"/>
          <w:szCs w:val="24"/>
        </w:rPr>
        <w:t xml:space="preserve">En complément d’un mode de vie sain, prendre 1 comprimé par jour pendant au moins 1 mois. Laisser fondre lentement le comprimé dans la bouche pour assurer un contact aussi long que possible de la substance active avec la muqueuse buccale. </w:t>
      </w:r>
    </w:p>
    <w:p w14:paraId="7EC078DC" w14:textId="2426EB9F" w:rsidR="009A7B03" w:rsidRPr="0059282D" w:rsidRDefault="009A7B03" w:rsidP="009A7B03">
      <w:pPr>
        <w:spacing w:after="0"/>
        <w:jc w:val="both"/>
        <w:rPr>
          <w:sz w:val="24"/>
          <w:szCs w:val="24"/>
        </w:rPr>
      </w:pPr>
      <w:r w:rsidRPr="0059282D">
        <w:rPr>
          <w:b/>
          <w:bCs/>
          <w:sz w:val="24"/>
          <w:szCs w:val="24"/>
        </w:rPr>
        <w:t>À prendre le soir après le brossage des dents.</w:t>
      </w:r>
      <w:r w:rsidRPr="0059282D">
        <w:rPr>
          <w:sz w:val="24"/>
          <w:szCs w:val="24"/>
        </w:rPr>
        <w:t xml:space="preserve"> Ceci est très important car l'</w:t>
      </w:r>
      <w:r w:rsidRPr="0059282D">
        <w:rPr>
          <w:sz w:val="24"/>
          <w:szCs w:val="24"/>
        </w:rPr>
        <w:t>efficacité</w:t>
      </w:r>
      <w:r w:rsidRPr="0059282D">
        <w:rPr>
          <w:sz w:val="24"/>
          <w:szCs w:val="24"/>
        </w:rPr>
        <w:t xml:space="preserve"> du produit est déterminée par la durée de son séjour dans la bouche. Renouveler pendant toute la période hivernale</w:t>
      </w:r>
      <w:r w:rsidRPr="0059282D">
        <w:rPr>
          <w:sz w:val="24"/>
          <w:szCs w:val="24"/>
        </w:rPr>
        <w:t>.</w:t>
      </w:r>
    </w:p>
    <w:p w14:paraId="59EFA6CB" w14:textId="77777777" w:rsidR="009A7B03" w:rsidRPr="0059282D" w:rsidRDefault="009A7B03" w:rsidP="009A7B03">
      <w:pPr>
        <w:spacing w:after="0"/>
        <w:jc w:val="both"/>
        <w:rPr>
          <w:color w:val="2F5496" w:themeColor="accent1" w:themeShade="BF"/>
        </w:rPr>
      </w:pPr>
    </w:p>
    <w:p w14:paraId="59BFFC19" w14:textId="77777777" w:rsidR="009A7B03" w:rsidRPr="0059282D" w:rsidRDefault="009A7B03" w:rsidP="009A7B03">
      <w:pPr>
        <w:spacing w:after="0"/>
        <w:jc w:val="both"/>
        <w:rPr>
          <w:b/>
          <w:bCs/>
          <w:color w:val="2F5496" w:themeColor="accent1" w:themeShade="BF"/>
          <w:sz w:val="28"/>
          <w:szCs w:val="28"/>
        </w:rPr>
      </w:pPr>
      <w:r w:rsidRPr="0059282D">
        <w:rPr>
          <w:b/>
          <w:bCs/>
          <w:color w:val="2F5496" w:themeColor="accent1" w:themeShade="BF"/>
          <w:sz w:val="28"/>
          <w:szCs w:val="28"/>
        </w:rPr>
        <w:t xml:space="preserve">Précautions d’utilisation : </w:t>
      </w:r>
    </w:p>
    <w:p w14:paraId="54441120" w14:textId="77777777" w:rsidR="009A7B03" w:rsidRPr="0059282D" w:rsidRDefault="009A7B03" w:rsidP="009A7B03">
      <w:pPr>
        <w:spacing w:after="0"/>
        <w:jc w:val="both"/>
        <w:rPr>
          <w:sz w:val="24"/>
          <w:szCs w:val="24"/>
        </w:rPr>
      </w:pPr>
      <w:r w:rsidRPr="0059282D">
        <w:rPr>
          <w:sz w:val="24"/>
          <w:szCs w:val="24"/>
        </w:rPr>
        <w:t xml:space="preserve">Ne pas dépasser la dose recommandée. </w:t>
      </w:r>
    </w:p>
    <w:p w14:paraId="2AE98F8A" w14:textId="77777777" w:rsidR="009A7B03" w:rsidRPr="0059282D" w:rsidRDefault="009A7B03" w:rsidP="009A7B03">
      <w:pPr>
        <w:spacing w:after="0"/>
        <w:jc w:val="both"/>
        <w:rPr>
          <w:sz w:val="24"/>
          <w:szCs w:val="24"/>
        </w:rPr>
      </w:pPr>
      <w:r w:rsidRPr="0059282D">
        <w:rPr>
          <w:sz w:val="24"/>
          <w:szCs w:val="24"/>
        </w:rPr>
        <w:t xml:space="preserve">Un complément alimentaire ne doit pas se substituer à un mode de vie sain et à une alimentation variée et équilibrée. </w:t>
      </w:r>
    </w:p>
    <w:p w14:paraId="3D31243D" w14:textId="77777777" w:rsidR="009A7B03" w:rsidRPr="0059282D" w:rsidRDefault="009A7B03" w:rsidP="009A7B03">
      <w:pPr>
        <w:spacing w:after="0"/>
        <w:jc w:val="both"/>
        <w:rPr>
          <w:sz w:val="24"/>
          <w:szCs w:val="24"/>
        </w:rPr>
      </w:pPr>
      <w:r w:rsidRPr="0059282D">
        <w:rPr>
          <w:sz w:val="24"/>
          <w:szCs w:val="24"/>
        </w:rPr>
        <w:t xml:space="preserve">La présentation en comprimé n'est pas recommandée pour les enfants de moins de 3 ans. </w:t>
      </w:r>
    </w:p>
    <w:p w14:paraId="649C9F08" w14:textId="77777777" w:rsidR="009A7B03" w:rsidRPr="0059282D" w:rsidRDefault="009A7B03" w:rsidP="009A7B03">
      <w:pPr>
        <w:spacing w:after="0"/>
        <w:jc w:val="both"/>
        <w:rPr>
          <w:sz w:val="24"/>
          <w:szCs w:val="24"/>
        </w:rPr>
      </w:pPr>
      <w:r w:rsidRPr="0059282D">
        <w:rPr>
          <w:sz w:val="24"/>
          <w:szCs w:val="24"/>
        </w:rPr>
        <w:t xml:space="preserve">Pendant la grossesse ou l'allaitement, ne prendre le produit que sous la surveillance d'un médecin. Tenir hors de portée des enfants. </w:t>
      </w:r>
    </w:p>
    <w:p w14:paraId="4CB67D4F" w14:textId="74219F8C" w:rsidR="009A7B03" w:rsidRPr="0059282D" w:rsidRDefault="009A7B03" w:rsidP="009A7B03">
      <w:pPr>
        <w:spacing w:after="0"/>
        <w:jc w:val="both"/>
        <w:rPr>
          <w:sz w:val="24"/>
          <w:szCs w:val="24"/>
        </w:rPr>
      </w:pPr>
      <w:r w:rsidRPr="0059282D">
        <w:rPr>
          <w:sz w:val="24"/>
          <w:szCs w:val="24"/>
        </w:rPr>
        <w:t>En cas d'</w:t>
      </w:r>
      <w:r w:rsidRPr="0059282D">
        <w:rPr>
          <w:sz w:val="24"/>
          <w:szCs w:val="24"/>
        </w:rPr>
        <w:t>effet</w:t>
      </w:r>
      <w:r w:rsidRPr="0059282D">
        <w:rPr>
          <w:sz w:val="24"/>
          <w:szCs w:val="24"/>
        </w:rPr>
        <w:t xml:space="preserve"> indésirable, cessez d'utiliser le produit et consultez votre médecin.</w:t>
      </w:r>
    </w:p>
    <w:p w14:paraId="245DF2F5" w14:textId="77777777" w:rsidR="009A7B03" w:rsidRPr="0059282D" w:rsidRDefault="009A7B03" w:rsidP="009A7B03">
      <w:pPr>
        <w:spacing w:after="0"/>
        <w:jc w:val="both"/>
        <w:rPr>
          <w:color w:val="2F5496" w:themeColor="accent1" w:themeShade="BF"/>
          <w:sz w:val="28"/>
          <w:szCs w:val="28"/>
        </w:rPr>
      </w:pPr>
    </w:p>
    <w:p w14:paraId="5078A6FB" w14:textId="77777777" w:rsidR="009A7B03" w:rsidRPr="0059282D" w:rsidRDefault="009A7B03" w:rsidP="009A7B03">
      <w:pPr>
        <w:spacing w:after="0"/>
        <w:jc w:val="both"/>
        <w:rPr>
          <w:b/>
          <w:bCs/>
          <w:color w:val="2F5496" w:themeColor="accent1" w:themeShade="BF"/>
          <w:sz w:val="28"/>
          <w:szCs w:val="28"/>
        </w:rPr>
      </w:pPr>
      <w:r w:rsidRPr="0059282D">
        <w:rPr>
          <w:b/>
          <w:bCs/>
          <w:color w:val="2F5496" w:themeColor="accent1" w:themeShade="BF"/>
          <w:sz w:val="28"/>
          <w:szCs w:val="28"/>
        </w:rPr>
        <w:t xml:space="preserve">Conservation : </w:t>
      </w:r>
    </w:p>
    <w:p w14:paraId="14F0AD62" w14:textId="77777777" w:rsidR="009A7B03" w:rsidRPr="0059282D" w:rsidRDefault="009A7B03" w:rsidP="009A7B03">
      <w:pPr>
        <w:spacing w:after="0"/>
        <w:jc w:val="both"/>
        <w:rPr>
          <w:sz w:val="24"/>
          <w:szCs w:val="24"/>
        </w:rPr>
      </w:pPr>
      <w:r w:rsidRPr="0059282D">
        <w:rPr>
          <w:sz w:val="24"/>
          <w:szCs w:val="24"/>
        </w:rPr>
        <w:t xml:space="preserve">Conserver dans un endroit sec, à une température inférieure à 25° С. </w:t>
      </w:r>
    </w:p>
    <w:p w14:paraId="36F2CD9F" w14:textId="77777777" w:rsidR="009A7B03" w:rsidRPr="0059282D" w:rsidRDefault="009A7B03" w:rsidP="009A7B03">
      <w:pPr>
        <w:spacing w:after="0"/>
        <w:jc w:val="both"/>
        <w:rPr>
          <w:sz w:val="24"/>
          <w:szCs w:val="24"/>
        </w:rPr>
      </w:pPr>
      <w:r w:rsidRPr="0059282D">
        <w:rPr>
          <w:sz w:val="24"/>
          <w:szCs w:val="24"/>
        </w:rPr>
        <w:t xml:space="preserve">La stabilité et la viabilité de la souche probiotique (Streptococcus </w:t>
      </w:r>
      <w:proofErr w:type="spellStart"/>
      <w:r w:rsidRPr="0059282D">
        <w:rPr>
          <w:sz w:val="24"/>
          <w:szCs w:val="24"/>
        </w:rPr>
        <w:t>salivarius</w:t>
      </w:r>
      <w:proofErr w:type="spellEnd"/>
      <w:r w:rsidRPr="0059282D">
        <w:rPr>
          <w:sz w:val="24"/>
          <w:szCs w:val="24"/>
        </w:rPr>
        <w:t xml:space="preserve">, K - 1 2 ®) sont garanties pendant toute la durée de conservation. </w:t>
      </w:r>
    </w:p>
    <w:p w14:paraId="4B4F8C6E" w14:textId="1BC720C2" w:rsidR="009A7B03" w:rsidRPr="0059282D" w:rsidRDefault="009A7B03" w:rsidP="009A7B03">
      <w:pPr>
        <w:spacing w:after="0"/>
        <w:jc w:val="both"/>
        <w:rPr>
          <w:sz w:val="24"/>
          <w:szCs w:val="24"/>
        </w:rPr>
      </w:pPr>
      <w:r w:rsidRPr="0059282D">
        <w:rPr>
          <w:sz w:val="24"/>
          <w:szCs w:val="24"/>
        </w:rPr>
        <w:t>A consommer de préférence avant fin : voir sur l’étui</w:t>
      </w:r>
      <w:r w:rsidRPr="0059282D">
        <w:rPr>
          <w:sz w:val="24"/>
          <w:szCs w:val="24"/>
        </w:rPr>
        <w:t>.</w:t>
      </w:r>
    </w:p>
    <w:p w14:paraId="62234A50" w14:textId="77777777" w:rsidR="009A7B03" w:rsidRDefault="009A7B03" w:rsidP="009A7B03">
      <w:pPr>
        <w:spacing w:after="0"/>
        <w:jc w:val="both"/>
      </w:pPr>
    </w:p>
    <w:p w14:paraId="0E04372F" w14:textId="77777777" w:rsidR="009A7B03" w:rsidRPr="0059282D" w:rsidRDefault="009A7B03" w:rsidP="009A7B03">
      <w:pPr>
        <w:spacing w:after="0"/>
        <w:jc w:val="both"/>
        <w:rPr>
          <w:b/>
          <w:bCs/>
          <w:color w:val="2F5496" w:themeColor="accent1" w:themeShade="BF"/>
          <w:sz w:val="28"/>
          <w:szCs w:val="28"/>
        </w:rPr>
      </w:pPr>
      <w:r w:rsidRPr="0059282D">
        <w:rPr>
          <w:b/>
          <w:bCs/>
          <w:color w:val="2F5496" w:themeColor="accent1" w:themeShade="BF"/>
          <w:sz w:val="28"/>
          <w:szCs w:val="28"/>
        </w:rPr>
        <w:t xml:space="preserve">Présentation : </w:t>
      </w:r>
    </w:p>
    <w:p w14:paraId="79B129A4" w14:textId="52C5C550" w:rsidR="009A7B03" w:rsidRPr="0059282D" w:rsidRDefault="009A7B03" w:rsidP="009A7B03">
      <w:pPr>
        <w:spacing w:after="0"/>
        <w:jc w:val="both"/>
        <w:rPr>
          <w:sz w:val="24"/>
          <w:szCs w:val="24"/>
        </w:rPr>
      </w:pPr>
      <w:r w:rsidRPr="0059282D">
        <w:rPr>
          <w:sz w:val="24"/>
          <w:szCs w:val="24"/>
        </w:rPr>
        <w:t>Boîte de 30 comprimés (3 blisters de 10 comprimés)</w:t>
      </w:r>
      <w:r w:rsidRPr="0059282D">
        <w:rPr>
          <w:sz w:val="24"/>
          <w:szCs w:val="24"/>
        </w:rPr>
        <w:t>.</w:t>
      </w:r>
    </w:p>
    <w:p w14:paraId="1F72466B" w14:textId="77777777" w:rsidR="009A7B03" w:rsidRPr="0059282D" w:rsidRDefault="009A7B03" w:rsidP="009A7B03">
      <w:pPr>
        <w:spacing w:after="0"/>
        <w:jc w:val="both"/>
        <w:rPr>
          <w:color w:val="2F5496" w:themeColor="accent1" w:themeShade="BF"/>
          <w:sz w:val="28"/>
          <w:szCs w:val="28"/>
        </w:rPr>
      </w:pPr>
    </w:p>
    <w:p w14:paraId="66F713EA" w14:textId="77777777" w:rsidR="009A7B03" w:rsidRPr="0059282D" w:rsidRDefault="009A7B03" w:rsidP="009A7B03">
      <w:pPr>
        <w:spacing w:after="0"/>
        <w:jc w:val="both"/>
        <w:rPr>
          <w:b/>
          <w:bCs/>
          <w:color w:val="2F5496" w:themeColor="accent1" w:themeShade="BF"/>
          <w:sz w:val="28"/>
          <w:szCs w:val="28"/>
        </w:rPr>
      </w:pPr>
      <w:r w:rsidRPr="0059282D">
        <w:rPr>
          <w:b/>
          <w:bCs/>
          <w:color w:val="2F5496" w:themeColor="accent1" w:themeShade="BF"/>
          <w:sz w:val="28"/>
          <w:szCs w:val="28"/>
        </w:rPr>
        <w:t xml:space="preserve">Pour plus d’information </w:t>
      </w:r>
    </w:p>
    <w:p w14:paraId="022C9ABF" w14:textId="108DF95F" w:rsidR="009A7B03" w:rsidRPr="0059282D" w:rsidRDefault="009A7B03" w:rsidP="009A7B03">
      <w:pPr>
        <w:spacing w:after="0"/>
        <w:jc w:val="both"/>
        <w:rPr>
          <w:sz w:val="24"/>
          <w:szCs w:val="24"/>
        </w:rPr>
      </w:pPr>
      <w:r w:rsidRPr="0059282D">
        <w:rPr>
          <w:sz w:val="24"/>
          <w:szCs w:val="24"/>
        </w:rPr>
        <w:t xml:space="preserve">Laboratoires GRIMBERG - 44, avenue Georges Pompidou - 92300 Levallois-Perret </w:t>
      </w:r>
      <w:r w:rsidRPr="0059282D">
        <w:rPr>
          <w:sz w:val="24"/>
          <w:szCs w:val="24"/>
        </w:rPr>
        <w:t>–</w:t>
      </w:r>
      <w:r w:rsidRPr="0059282D">
        <w:rPr>
          <w:sz w:val="24"/>
          <w:szCs w:val="24"/>
        </w:rPr>
        <w:t xml:space="preserve"> </w:t>
      </w:r>
      <w:r w:rsidRPr="0059282D">
        <w:rPr>
          <w:sz w:val="24"/>
          <w:szCs w:val="24"/>
        </w:rPr>
        <w:t>France</w:t>
      </w:r>
    </w:p>
    <w:p w14:paraId="7149BC6F" w14:textId="70658C54" w:rsidR="009A7B03" w:rsidRPr="0059282D" w:rsidRDefault="009A7B03" w:rsidP="009A7B03">
      <w:pPr>
        <w:spacing w:after="0"/>
        <w:jc w:val="both"/>
        <w:rPr>
          <w:sz w:val="24"/>
          <w:szCs w:val="24"/>
        </w:rPr>
      </w:pPr>
      <w:hyperlink r:id="rId4" w:history="1">
        <w:r w:rsidRPr="0059282D">
          <w:rPr>
            <w:rStyle w:val="Lienhypertexte"/>
            <w:color w:val="000000" w:themeColor="text1"/>
            <w:sz w:val="24"/>
            <w:szCs w:val="24"/>
            <w:u w:val="none"/>
          </w:rPr>
          <w:t>infomedicale@laboratoires-grimberg.com</w:t>
        </w:r>
      </w:hyperlink>
      <w:r w:rsidRPr="0059282D">
        <w:rPr>
          <w:color w:val="000000" w:themeColor="text1"/>
          <w:sz w:val="24"/>
          <w:szCs w:val="24"/>
        </w:rPr>
        <w:t xml:space="preserve"> </w:t>
      </w:r>
    </w:p>
    <w:p w14:paraId="018A83D4" w14:textId="5DAA6A88" w:rsidR="009A7B03" w:rsidRPr="0059282D" w:rsidRDefault="00106377" w:rsidP="009A7B03">
      <w:pPr>
        <w:spacing w:after="0"/>
        <w:jc w:val="both"/>
        <w:rPr>
          <w:b/>
          <w:bCs/>
          <w:sz w:val="24"/>
          <w:szCs w:val="24"/>
        </w:rPr>
      </w:pPr>
      <w:r w:rsidRPr="0059282D">
        <w:rPr>
          <w:b/>
          <w:bCs/>
          <w:sz w:val="24"/>
          <w:szCs w:val="24"/>
        </w:rPr>
        <w:t>0 809 108 155</w:t>
      </w:r>
    </w:p>
    <w:p w14:paraId="584CF0C9" w14:textId="77777777" w:rsidR="00106377" w:rsidRPr="0059282D" w:rsidRDefault="00106377" w:rsidP="009A7B03">
      <w:pPr>
        <w:spacing w:after="0"/>
        <w:jc w:val="both"/>
        <w:rPr>
          <w:sz w:val="24"/>
          <w:szCs w:val="24"/>
        </w:rPr>
      </w:pPr>
    </w:p>
    <w:p w14:paraId="08336E0A" w14:textId="74941DD7" w:rsidR="009A7B03" w:rsidRPr="0059282D" w:rsidRDefault="009A7B03" w:rsidP="009A7B03">
      <w:pPr>
        <w:spacing w:after="0"/>
        <w:jc w:val="both"/>
        <w:rPr>
          <w:sz w:val="24"/>
          <w:szCs w:val="24"/>
        </w:rPr>
      </w:pPr>
      <w:r w:rsidRPr="0059282D">
        <w:rPr>
          <w:b/>
          <w:bCs/>
          <w:sz w:val="24"/>
          <w:szCs w:val="24"/>
        </w:rPr>
        <w:t>Fabriqué par :</w:t>
      </w:r>
      <w:r w:rsidRPr="0059282D">
        <w:rPr>
          <w:sz w:val="24"/>
          <w:szCs w:val="24"/>
        </w:rPr>
        <w:t xml:space="preserve"> </w:t>
      </w:r>
      <w:proofErr w:type="spellStart"/>
      <w:r w:rsidRPr="0059282D">
        <w:rPr>
          <w:sz w:val="24"/>
          <w:szCs w:val="24"/>
        </w:rPr>
        <w:t>Bluestone</w:t>
      </w:r>
      <w:proofErr w:type="spellEnd"/>
      <w:r w:rsidRPr="0059282D">
        <w:rPr>
          <w:sz w:val="24"/>
          <w:szCs w:val="24"/>
        </w:rPr>
        <w:t xml:space="preserve"> Pharma ® </w:t>
      </w:r>
      <w:proofErr w:type="spellStart"/>
      <w:r w:rsidRPr="0059282D">
        <w:rPr>
          <w:sz w:val="24"/>
          <w:szCs w:val="24"/>
        </w:rPr>
        <w:t>GmbH</w:t>
      </w:r>
      <w:proofErr w:type="spellEnd"/>
      <w:r w:rsidRPr="0059282D">
        <w:rPr>
          <w:sz w:val="24"/>
          <w:szCs w:val="24"/>
        </w:rPr>
        <w:t xml:space="preserve"> - </w:t>
      </w:r>
      <w:proofErr w:type="spellStart"/>
      <w:r w:rsidRPr="0059282D">
        <w:rPr>
          <w:sz w:val="24"/>
          <w:szCs w:val="24"/>
        </w:rPr>
        <w:t>Rathausstr</w:t>
      </w:r>
      <w:proofErr w:type="spellEnd"/>
      <w:r w:rsidRPr="0059282D">
        <w:rPr>
          <w:sz w:val="24"/>
          <w:szCs w:val="24"/>
        </w:rPr>
        <w:t xml:space="preserve">. 14 - 6340 Baar - </w:t>
      </w:r>
      <w:proofErr w:type="spellStart"/>
      <w:r w:rsidRPr="0059282D">
        <w:rPr>
          <w:sz w:val="24"/>
          <w:szCs w:val="24"/>
        </w:rPr>
        <w:t>Switzerland</w:t>
      </w:r>
      <w:proofErr w:type="spellEnd"/>
      <w:r w:rsidRPr="0059282D">
        <w:rPr>
          <w:sz w:val="24"/>
          <w:szCs w:val="24"/>
        </w:rPr>
        <w:t>.</w:t>
      </w:r>
    </w:p>
    <w:p w14:paraId="11D6BF44" w14:textId="77777777" w:rsidR="009A7B03" w:rsidRDefault="009A7B03" w:rsidP="009A7B03">
      <w:pPr>
        <w:spacing w:after="0"/>
        <w:jc w:val="both"/>
      </w:pPr>
    </w:p>
    <w:p w14:paraId="68CF7F5E" w14:textId="77777777" w:rsidR="009A7B03" w:rsidRDefault="009A7B03" w:rsidP="009A7B03">
      <w:pPr>
        <w:spacing w:after="0"/>
        <w:jc w:val="both"/>
      </w:pPr>
    </w:p>
    <w:sectPr w:rsidR="009A7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74"/>
    <w:rsid w:val="00106377"/>
    <w:rsid w:val="002D0803"/>
    <w:rsid w:val="0059282D"/>
    <w:rsid w:val="008E04AB"/>
    <w:rsid w:val="009A7B03"/>
    <w:rsid w:val="00B9621B"/>
    <w:rsid w:val="00D93F2E"/>
    <w:rsid w:val="00E552DA"/>
    <w:rsid w:val="00F97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F9D9"/>
  <w15:chartTrackingRefBased/>
  <w15:docId w15:val="{4699A6A7-D1BC-4A4B-B2B8-58782E6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7B03"/>
    <w:rPr>
      <w:color w:val="0563C1" w:themeColor="hyperlink"/>
      <w:u w:val="single"/>
    </w:rPr>
  </w:style>
  <w:style w:type="character" w:styleId="Mentionnonrsolue">
    <w:name w:val="Unresolved Mention"/>
    <w:basedOn w:val="Policepardfaut"/>
    <w:uiPriority w:val="99"/>
    <w:semiHidden/>
    <w:unhideWhenUsed/>
    <w:rsid w:val="009A7B03"/>
    <w:rPr>
      <w:color w:val="605E5C"/>
      <w:shd w:val="clear" w:color="auto" w:fill="E1DFDD"/>
    </w:rPr>
  </w:style>
  <w:style w:type="table" w:styleId="Grilledutableau">
    <w:name w:val="Table Grid"/>
    <w:basedOn w:val="TableauNormal"/>
    <w:uiPriority w:val="39"/>
    <w:rsid w:val="00E5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edicale@laboratoires-grimber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3</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 Euldj</dc:creator>
  <cp:keywords/>
  <dc:description/>
  <cp:lastModifiedBy>Ahmed El Euldj</cp:lastModifiedBy>
  <cp:revision>1</cp:revision>
  <dcterms:created xsi:type="dcterms:W3CDTF">2024-09-24T15:18:00Z</dcterms:created>
  <dcterms:modified xsi:type="dcterms:W3CDTF">2024-09-25T07:46:00Z</dcterms:modified>
</cp:coreProperties>
</file>